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黑体" w:hAnsi="宋体" w:eastAsia="黑体" w:cs="黑体"/>
          <w:b w:val="0"/>
          <w:bCs w:val="0"/>
          <w:kern w:val="2"/>
          <w:sz w:val="32"/>
          <w:szCs w:val="32"/>
          <w:lang w:val="en-US" w:eastAsia="zh-CN" w:bidi="ar"/>
        </w:rPr>
      </w:pPr>
      <w:r>
        <w:rPr>
          <w:rFonts w:hint="eastAsia" w:ascii="黑体" w:hAnsi="宋体" w:eastAsia="黑体" w:cs="黑体"/>
          <w:b w:val="0"/>
          <w:bCs w:val="0"/>
          <w:kern w:val="2"/>
          <w:sz w:val="32"/>
          <w:szCs w:val="32"/>
          <w:lang w:val="en-US" w:eastAsia="zh-CN" w:bidi="ar"/>
        </w:rPr>
        <w:t>关于进一步加强研究生学位论文开题报告工作的通知</w:t>
      </w:r>
    </w:p>
    <w:p>
      <w:pPr>
        <w:keepNext w:val="0"/>
        <w:keepLines w:val="0"/>
        <w:widowControl w:val="0"/>
        <w:suppressLineNumbers w:val="0"/>
        <w:spacing w:before="0" w:beforeAutospacing="0" w:after="0" w:afterAutospacing="0"/>
        <w:ind w:left="0" w:right="0"/>
        <w:jc w:val="center"/>
        <w:rPr>
          <w:rFonts w:hint="eastAsia" w:ascii="黑体" w:hAnsi="宋体" w:eastAsia="黑体" w:cs="黑体"/>
          <w:b w:val="0"/>
          <w:bCs w:val="0"/>
          <w:kern w:val="2"/>
          <w:sz w:val="32"/>
          <w:szCs w:val="32"/>
          <w:lang w:val="en-US" w:eastAsia="zh-CN" w:bidi="ar"/>
        </w:rPr>
      </w:pPr>
      <w:r>
        <w:rPr>
          <w:rFonts w:hint="eastAsia" w:ascii="黑体" w:hAnsi="宋体" w:eastAsia="黑体" w:cs="黑体"/>
          <w:b w:val="0"/>
          <w:bCs w:val="0"/>
          <w:kern w:val="2"/>
          <w:sz w:val="32"/>
          <w:szCs w:val="32"/>
          <w:lang w:val="en-US" w:eastAsia="zh-CN" w:bidi="ar"/>
        </w:rPr>
        <w:t>（征求意见稿）</w:t>
      </w:r>
    </w:p>
    <w:p>
      <w:pPr>
        <w:keepNext w:val="0"/>
        <w:keepLines w:val="0"/>
        <w:widowControl w:val="0"/>
        <w:suppressLineNumbers w:val="0"/>
        <w:spacing w:before="0" w:beforeAutospacing="0" w:after="0" w:afterAutospacing="0"/>
        <w:ind w:left="0" w:right="0"/>
        <w:jc w:val="both"/>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全校各研究生培养单位：</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根据《教育部办公厅关于进一步规范和加强研究生培养管理的通知》（教研厅[2019]1号）、《国务院学位委员会 教育部关于进一步严格规范学位与研究生教育质量管理的若干意见》（学位〔2020〕19 号）、《武汉大学进一步加强研究生学位论文全过程质量管理办法》（武大研字[2021]7号）等文件精神，为进一步做好研究生学位论文开题报告工作，强化学位论文开题报告的规范化管理，从源头上保障学位论文质量，现将有关要求通知如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both"/>
        <w:textAlignment w:val="auto"/>
        <w:rPr>
          <w:rFonts w:hint="default" w:ascii="仿宋" w:hAnsi="仿宋" w:eastAsia="仿宋" w:cs="仿宋"/>
          <w:b/>
          <w:bCs/>
          <w:color w:val="444444"/>
          <w:kern w:val="2"/>
          <w:sz w:val="28"/>
          <w:szCs w:val="28"/>
          <w:shd w:val="clear" w:fill="FFFFFF"/>
          <w:lang w:val="en-US" w:eastAsia="zh-CN" w:bidi="ar"/>
        </w:rPr>
      </w:pPr>
      <w:r>
        <w:rPr>
          <w:rFonts w:hint="eastAsia" w:ascii="仿宋" w:hAnsi="仿宋" w:eastAsia="仿宋" w:cs="仿宋"/>
          <w:b/>
          <w:bCs/>
          <w:color w:val="444444"/>
          <w:kern w:val="2"/>
          <w:sz w:val="28"/>
          <w:szCs w:val="28"/>
          <w:shd w:val="clear" w:fill="FFFFFF"/>
          <w:lang w:val="en-US" w:eastAsia="zh-CN" w:bidi="ar"/>
        </w:rPr>
        <w:t>一、开题报告的目的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default" w:ascii="仿宋" w:hAnsi="仿宋" w:eastAsia="仿宋" w:cs="仿宋"/>
          <w:color w:val="444444"/>
          <w:kern w:val="2"/>
          <w:sz w:val="28"/>
          <w:szCs w:val="28"/>
          <w:shd w:val="clear" w:fill="FFFFFF"/>
          <w:lang w:val="en-US" w:eastAsia="zh-CN" w:bidi="ar"/>
        </w:rPr>
        <w:t>开题报告</w:t>
      </w:r>
      <w:r>
        <w:rPr>
          <w:rFonts w:hint="eastAsia" w:ascii="仿宋" w:hAnsi="仿宋" w:eastAsia="仿宋" w:cs="仿宋"/>
          <w:color w:val="444444"/>
          <w:kern w:val="2"/>
          <w:sz w:val="28"/>
          <w:szCs w:val="28"/>
          <w:shd w:val="clear" w:fill="FFFFFF"/>
          <w:lang w:val="en-US" w:eastAsia="zh-CN" w:bidi="ar"/>
        </w:rPr>
        <w:t>是学位论文研究的必经环节，是做好学位论文的重要前提，是对</w:t>
      </w:r>
      <w:r>
        <w:rPr>
          <w:rFonts w:hint="default" w:ascii="仿宋" w:hAnsi="仿宋" w:eastAsia="仿宋" w:cs="仿宋"/>
          <w:color w:val="444444"/>
          <w:kern w:val="2"/>
          <w:sz w:val="28"/>
          <w:szCs w:val="28"/>
          <w:shd w:val="clear" w:fill="FFFFFF"/>
          <w:lang w:val="en-US" w:eastAsia="zh-CN" w:bidi="ar"/>
        </w:rPr>
        <w:t>研究生</w:t>
      </w:r>
      <w:r>
        <w:rPr>
          <w:rFonts w:hint="eastAsia" w:ascii="仿宋" w:hAnsi="仿宋" w:eastAsia="仿宋" w:cs="仿宋"/>
          <w:color w:val="444444"/>
          <w:kern w:val="2"/>
          <w:sz w:val="28"/>
          <w:szCs w:val="28"/>
          <w:shd w:val="clear" w:fill="FFFFFF"/>
          <w:lang w:val="en-US" w:eastAsia="zh-CN" w:bidi="ar"/>
        </w:rPr>
        <w:t>科学研究能力和专业素养的综合检测，主要考察研究生学位</w:t>
      </w:r>
      <w:r>
        <w:rPr>
          <w:rFonts w:hint="default" w:ascii="仿宋" w:hAnsi="仿宋" w:eastAsia="仿宋" w:cs="仿宋"/>
          <w:color w:val="444444"/>
          <w:kern w:val="2"/>
          <w:sz w:val="28"/>
          <w:szCs w:val="28"/>
          <w:shd w:val="clear" w:fill="FFFFFF"/>
          <w:lang w:val="en-US" w:eastAsia="zh-CN" w:bidi="ar"/>
        </w:rPr>
        <w:t>论文选题</w:t>
      </w:r>
      <w:r>
        <w:rPr>
          <w:rFonts w:hint="eastAsia" w:ascii="仿宋" w:hAnsi="仿宋" w:eastAsia="仿宋" w:cs="仿宋"/>
          <w:color w:val="444444"/>
          <w:kern w:val="2"/>
          <w:sz w:val="28"/>
          <w:szCs w:val="28"/>
          <w:shd w:val="clear" w:fill="FFFFFF"/>
          <w:lang w:val="en-US" w:eastAsia="zh-CN" w:bidi="ar"/>
        </w:rPr>
        <w:t>是否恰当，国内外研究现状和趋势是否准确把握，研究计划是否科学可行，参考文献是否翔实充分等。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both"/>
        <w:textAlignment w:val="auto"/>
        <w:rPr>
          <w:rFonts w:hint="default" w:ascii="仿宋" w:hAnsi="仿宋" w:eastAsia="仿宋" w:cs="仿宋"/>
          <w:b/>
          <w:bCs/>
          <w:color w:val="444444"/>
          <w:kern w:val="2"/>
          <w:sz w:val="28"/>
          <w:szCs w:val="28"/>
          <w:shd w:val="clear" w:fill="FFFFFF"/>
          <w:lang w:val="en-US" w:eastAsia="zh-CN" w:bidi="ar"/>
        </w:rPr>
      </w:pPr>
      <w:r>
        <w:rPr>
          <w:rFonts w:hint="eastAsia" w:ascii="仿宋" w:hAnsi="仿宋" w:eastAsia="仿宋" w:cs="仿宋"/>
          <w:b/>
          <w:bCs/>
          <w:color w:val="444444"/>
          <w:kern w:val="2"/>
          <w:sz w:val="28"/>
          <w:szCs w:val="28"/>
          <w:shd w:val="clear" w:fill="FFFFFF"/>
          <w:lang w:val="en-US" w:eastAsia="zh-CN" w:bidi="ar"/>
        </w:rPr>
        <w:t>二、开题报告的时间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开题报告前，研究生应结合学科专业培养目标、参与的课题研究、自身的专业基础、研究兴趣与专长，通过与导师的充分沟通与协商，选择和确定学位论文选题，广泛查阅文献资料，开展选题的探索性研究，并在选题得到合理评估的基础上撰写开题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开题报告一般应在研究生课程学习和中期考核（综合考试）结束后的第二学年内完成。原则上硕士生须在申请学位论文答辩至少6个月之前完成并通过开题报告，博士生须在申请学位论文答辩至少12个月之前完成并通过开题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color w:val="444444"/>
          <w:kern w:val="2"/>
          <w:sz w:val="28"/>
          <w:szCs w:val="28"/>
          <w:shd w:val="clear" w:fill="FFFFFF"/>
          <w:lang w:val="en-US" w:eastAsia="zh-CN" w:bidi="ar"/>
        </w:rPr>
      </w:pPr>
      <w:r>
        <w:rPr>
          <w:rFonts w:hint="eastAsia" w:ascii="仿宋" w:hAnsi="仿宋" w:eastAsia="仿宋" w:cs="仿宋"/>
          <w:b/>
          <w:bCs/>
          <w:color w:val="444444"/>
          <w:kern w:val="2"/>
          <w:sz w:val="28"/>
          <w:szCs w:val="28"/>
          <w:shd w:val="clear" w:fill="FFFFFF"/>
          <w:lang w:val="en-US" w:eastAsia="zh-CN" w:bidi="ar"/>
        </w:rPr>
        <w:t>三、开题报告的内容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开题报告的内容一般由以下几部分组成：论文选题的价值与意义；与论文选题相关的国内外研究现状及趋势；</w:t>
      </w:r>
      <w:r>
        <w:rPr>
          <w:rFonts w:hint="default" w:ascii="仿宋" w:hAnsi="仿宋" w:eastAsia="仿宋" w:cs="仿宋"/>
          <w:color w:val="444444"/>
          <w:kern w:val="2"/>
          <w:sz w:val="28"/>
          <w:szCs w:val="28"/>
          <w:shd w:val="clear" w:fill="FFFFFF"/>
          <w:lang w:val="en-US" w:eastAsia="zh-CN" w:bidi="ar"/>
        </w:rPr>
        <w:t>论文研究计划，</w:t>
      </w:r>
      <w:r>
        <w:rPr>
          <w:rFonts w:hint="eastAsia" w:ascii="仿宋" w:hAnsi="仿宋" w:eastAsia="仿宋" w:cs="仿宋"/>
          <w:color w:val="444444"/>
          <w:kern w:val="2"/>
          <w:sz w:val="28"/>
          <w:szCs w:val="28"/>
          <w:shd w:val="clear" w:fill="FFFFFF"/>
          <w:lang w:val="en-US" w:eastAsia="zh-CN" w:bidi="ar"/>
        </w:rPr>
        <w:t>包括</w:t>
      </w:r>
      <w:r>
        <w:rPr>
          <w:rFonts w:hint="default" w:ascii="仿宋" w:hAnsi="仿宋" w:eastAsia="仿宋" w:cs="仿宋"/>
          <w:color w:val="444444"/>
          <w:kern w:val="2"/>
          <w:sz w:val="28"/>
          <w:szCs w:val="28"/>
          <w:shd w:val="clear" w:fill="FFFFFF"/>
          <w:lang w:val="en-US" w:eastAsia="zh-CN" w:bidi="ar"/>
        </w:rPr>
        <w:t>研究目标、</w:t>
      </w:r>
      <w:r>
        <w:rPr>
          <w:rFonts w:hint="eastAsia" w:ascii="仿宋" w:hAnsi="仿宋" w:eastAsia="仿宋" w:cs="仿宋"/>
          <w:color w:val="444444"/>
          <w:kern w:val="2"/>
          <w:sz w:val="28"/>
          <w:szCs w:val="28"/>
          <w:shd w:val="clear" w:fill="FFFFFF"/>
          <w:lang w:val="en-US" w:eastAsia="zh-CN" w:bidi="ar"/>
        </w:rPr>
        <w:t>研究思路、研究方法、技术路线，研究的重难点、可能的</w:t>
      </w:r>
      <w:r>
        <w:rPr>
          <w:rFonts w:hint="default" w:ascii="仿宋" w:hAnsi="仿宋" w:eastAsia="仿宋" w:cs="仿宋"/>
          <w:color w:val="444444"/>
          <w:kern w:val="2"/>
          <w:sz w:val="28"/>
          <w:szCs w:val="28"/>
          <w:shd w:val="clear" w:fill="FFFFFF"/>
          <w:lang w:val="en-US" w:eastAsia="zh-CN" w:bidi="ar"/>
        </w:rPr>
        <w:t>创新</w:t>
      </w:r>
      <w:r>
        <w:rPr>
          <w:rFonts w:hint="eastAsia" w:ascii="仿宋" w:hAnsi="仿宋" w:eastAsia="仿宋" w:cs="仿宋"/>
          <w:color w:val="444444"/>
          <w:kern w:val="2"/>
          <w:sz w:val="28"/>
          <w:szCs w:val="28"/>
          <w:shd w:val="clear" w:fill="FFFFFF"/>
          <w:lang w:val="en-US" w:eastAsia="zh-CN" w:bidi="ar"/>
        </w:rPr>
        <w:t>点与不足之处，研究的主要内容及初步框架，研究的进度安排</w:t>
      </w:r>
      <w:r>
        <w:rPr>
          <w:rFonts w:hint="default" w:ascii="仿宋" w:hAnsi="仿宋" w:eastAsia="仿宋" w:cs="仿宋"/>
          <w:color w:val="444444"/>
          <w:kern w:val="2"/>
          <w:sz w:val="28"/>
          <w:szCs w:val="28"/>
          <w:shd w:val="clear" w:fill="FFFFFF"/>
          <w:lang w:val="en-US" w:eastAsia="zh-CN" w:bidi="ar"/>
        </w:rPr>
        <w:t>等</w:t>
      </w:r>
      <w:r>
        <w:rPr>
          <w:rFonts w:hint="eastAsia" w:ascii="仿宋" w:hAnsi="仿宋" w:eastAsia="仿宋" w:cs="仿宋"/>
          <w:color w:val="444444"/>
          <w:kern w:val="2"/>
          <w:sz w:val="28"/>
          <w:szCs w:val="28"/>
          <w:shd w:val="clear" w:fill="FFFFFF"/>
          <w:lang w:val="en-US" w:eastAsia="zh-CN" w:bidi="ar"/>
        </w:rPr>
        <w:t>；主要参考文献。博士生开题报告正文部分不得少于5000字，硕士生开题报告正文部分不得少于3000字。</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color w:val="444444"/>
          <w:kern w:val="2"/>
          <w:sz w:val="28"/>
          <w:szCs w:val="28"/>
          <w:shd w:val="clear" w:fill="FFFFFF"/>
          <w:lang w:val="en-US" w:eastAsia="zh-CN" w:bidi="ar"/>
        </w:rPr>
      </w:pPr>
      <w:r>
        <w:rPr>
          <w:rFonts w:hint="eastAsia" w:ascii="仿宋" w:hAnsi="仿宋" w:eastAsia="仿宋" w:cs="仿宋"/>
          <w:b/>
          <w:bCs/>
          <w:color w:val="444444"/>
          <w:kern w:val="2"/>
          <w:sz w:val="28"/>
          <w:szCs w:val="28"/>
          <w:shd w:val="clear" w:fill="FFFFFF"/>
          <w:lang w:val="en-US" w:eastAsia="zh-CN" w:bidi="ar"/>
        </w:rPr>
        <w:t>四、开题报告的组织</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研究生撰写的开题报告经导师审核同意后，方能参加开题报告会。开题报告会一般由研究生所在学科专业集中统一组织，开题报告评议小组由不少于5名相关学科专家组成。其中，专业学位研究生开题报告评议小组成员中至少有1名行业领域专家或校外导师。</w:t>
      </w:r>
      <w:bookmarkStart w:id="0" w:name="_GoBack"/>
      <w:bookmarkEnd w:id="0"/>
      <w:r>
        <w:rPr>
          <w:rFonts w:hint="eastAsia" w:ascii="仿宋" w:hAnsi="仿宋" w:eastAsia="仿宋" w:cs="仿宋"/>
          <w:color w:val="444444"/>
          <w:kern w:val="2"/>
          <w:sz w:val="28"/>
          <w:szCs w:val="28"/>
          <w:shd w:val="clear" w:fill="FFFFFF"/>
          <w:lang w:val="en-US" w:eastAsia="zh-CN" w:bidi="ar"/>
        </w:rPr>
        <w:t>硕士生开题报告评议小组成员应有副高及以上职称，博士生开题报告评议小组成员应有正高职称。研究生一般应在开题报告会前5天将开题报告送交评议小组成员进行审核。</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开题报告会原则上应公开进行，涉密学位论文的开题报告须向研究生院学位工作处提出申请，经审核批准后，方可以不公开的方式进行。开题报告会应安排专人负责记录。开题报告会的程序包括：研究生作开题报告口头陈述；评议小组成员对开题报告提出意见和建议；评议小组做出开题报告的决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both"/>
        <w:textAlignment w:val="auto"/>
        <w:rPr>
          <w:rFonts w:hint="default" w:ascii="仿宋" w:hAnsi="仿宋" w:eastAsia="仿宋" w:cs="仿宋"/>
          <w:b/>
          <w:bCs/>
          <w:color w:val="444444"/>
          <w:kern w:val="2"/>
          <w:sz w:val="28"/>
          <w:szCs w:val="28"/>
          <w:shd w:val="clear" w:fill="FFFFFF"/>
          <w:lang w:val="en-US" w:eastAsia="zh-CN" w:bidi="ar"/>
        </w:rPr>
      </w:pPr>
      <w:r>
        <w:rPr>
          <w:rFonts w:hint="eastAsia" w:ascii="仿宋" w:hAnsi="仿宋" w:eastAsia="仿宋" w:cs="仿宋"/>
          <w:b/>
          <w:bCs/>
          <w:color w:val="444444"/>
          <w:kern w:val="2"/>
          <w:sz w:val="28"/>
          <w:szCs w:val="28"/>
          <w:shd w:val="clear" w:fill="FFFFFF"/>
          <w:lang w:val="en-US" w:eastAsia="zh-CN" w:bidi="ar"/>
        </w:rPr>
        <w:t>五、开题报告的决议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开题报告的决议由评议小组成员集体商议后做出，决议分为“通过”、“不通过”两种。</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开题报告“通过”者，可进入学位论文研究写作阶段；开题报告“不通过”者，须重新准备开题报告，一般应间隔至少3个月，再按照相关要求和程序申请参加下一次开题报告会。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default" w:ascii="仿宋" w:hAnsi="仿宋" w:eastAsia="仿宋" w:cs="仿宋"/>
          <w:color w:val="444444"/>
          <w:kern w:val="2"/>
          <w:sz w:val="28"/>
          <w:szCs w:val="28"/>
          <w:shd w:val="clear" w:fill="FFFFFF"/>
          <w:lang w:val="en-US" w:eastAsia="zh-CN" w:bidi="ar"/>
        </w:rPr>
        <w:t>开题报告通过后，</w:t>
      </w:r>
      <w:r>
        <w:rPr>
          <w:rFonts w:hint="eastAsia" w:ascii="仿宋" w:hAnsi="仿宋" w:eastAsia="仿宋" w:cs="仿宋"/>
          <w:color w:val="444444"/>
          <w:kern w:val="2"/>
          <w:sz w:val="28"/>
          <w:szCs w:val="28"/>
          <w:shd w:val="clear" w:fill="FFFFFF"/>
          <w:lang w:val="en-US" w:eastAsia="zh-CN" w:bidi="ar"/>
        </w:rPr>
        <w:t>原则上</w:t>
      </w:r>
      <w:r>
        <w:rPr>
          <w:rFonts w:hint="default" w:ascii="仿宋" w:hAnsi="仿宋" w:eastAsia="仿宋" w:cs="仿宋"/>
          <w:color w:val="444444"/>
          <w:kern w:val="2"/>
          <w:sz w:val="28"/>
          <w:szCs w:val="28"/>
          <w:shd w:val="clear" w:fill="FFFFFF"/>
          <w:lang w:val="en-US" w:eastAsia="zh-CN" w:bidi="ar"/>
        </w:rPr>
        <w:t>不得更改</w:t>
      </w:r>
      <w:r>
        <w:rPr>
          <w:rFonts w:hint="eastAsia" w:ascii="仿宋" w:hAnsi="仿宋" w:eastAsia="仿宋" w:cs="仿宋"/>
          <w:color w:val="444444"/>
          <w:kern w:val="2"/>
          <w:sz w:val="28"/>
          <w:szCs w:val="28"/>
          <w:shd w:val="clear" w:fill="FFFFFF"/>
          <w:lang w:val="en-US" w:eastAsia="zh-CN" w:bidi="ar"/>
        </w:rPr>
        <w:t>论文选题</w:t>
      </w:r>
      <w:r>
        <w:rPr>
          <w:rFonts w:hint="default" w:ascii="仿宋" w:hAnsi="仿宋" w:eastAsia="仿宋" w:cs="仿宋"/>
          <w:color w:val="444444"/>
          <w:kern w:val="2"/>
          <w:sz w:val="28"/>
          <w:szCs w:val="28"/>
          <w:shd w:val="clear" w:fill="FFFFFF"/>
          <w:lang w:val="en-US" w:eastAsia="zh-CN" w:bidi="ar"/>
        </w:rPr>
        <w:t>。</w:t>
      </w:r>
      <w:r>
        <w:rPr>
          <w:rFonts w:hint="eastAsia" w:ascii="仿宋" w:hAnsi="仿宋" w:eastAsia="仿宋" w:cs="仿宋"/>
          <w:color w:val="444444"/>
          <w:kern w:val="2"/>
          <w:sz w:val="28"/>
          <w:szCs w:val="28"/>
          <w:shd w:val="clear" w:fill="FFFFFF"/>
          <w:lang w:val="en-US" w:eastAsia="zh-CN" w:bidi="ar"/>
        </w:rPr>
        <w:t>确因</w:t>
      </w:r>
      <w:r>
        <w:rPr>
          <w:rFonts w:hint="default" w:ascii="仿宋" w:hAnsi="仿宋" w:eastAsia="仿宋" w:cs="仿宋"/>
          <w:color w:val="444444"/>
          <w:kern w:val="2"/>
          <w:sz w:val="28"/>
          <w:szCs w:val="28"/>
          <w:shd w:val="clear" w:fill="FFFFFF"/>
          <w:lang w:val="en-US" w:eastAsia="zh-CN" w:bidi="ar"/>
        </w:rPr>
        <w:t>实际研究需要对论文</w:t>
      </w:r>
      <w:r>
        <w:rPr>
          <w:rFonts w:hint="eastAsia" w:ascii="仿宋" w:hAnsi="仿宋" w:eastAsia="仿宋" w:cs="仿宋"/>
          <w:color w:val="444444"/>
          <w:kern w:val="2"/>
          <w:sz w:val="28"/>
          <w:szCs w:val="28"/>
          <w:shd w:val="clear" w:fill="FFFFFF"/>
          <w:lang w:val="en-US" w:eastAsia="zh-CN" w:bidi="ar"/>
        </w:rPr>
        <w:t>选题</w:t>
      </w:r>
      <w:r>
        <w:rPr>
          <w:rFonts w:hint="default" w:ascii="仿宋" w:hAnsi="仿宋" w:eastAsia="仿宋" w:cs="仿宋"/>
          <w:color w:val="444444"/>
          <w:kern w:val="2"/>
          <w:sz w:val="28"/>
          <w:szCs w:val="28"/>
          <w:shd w:val="clear" w:fill="FFFFFF"/>
          <w:lang w:val="en-US" w:eastAsia="zh-CN" w:bidi="ar"/>
        </w:rPr>
        <w:t>进行微调</w:t>
      </w:r>
      <w:r>
        <w:rPr>
          <w:rFonts w:hint="eastAsia" w:ascii="仿宋" w:hAnsi="仿宋" w:eastAsia="仿宋" w:cs="仿宋"/>
          <w:color w:val="444444"/>
          <w:kern w:val="2"/>
          <w:sz w:val="28"/>
          <w:szCs w:val="28"/>
          <w:shd w:val="clear" w:fill="FFFFFF"/>
          <w:lang w:val="en-US" w:eastAsia="zh-CN" w:bidi="ar"/>
        </w:rPr>
        <w:t>的</w:t>
      </w:r>
      <w:r>
        <w:rPr>
          <w:rFonts w:hint="default" w:ascii="仿宋" w:hAnsi="仿宋" w:eastAsia="仿宋" w:cs="仿宋"/>
          <w:color w:val="444444"/>
          <w:kern w:val="2"/>
          <w:sz w:val="28"/>
          <w:szCs w:val="28"/>
          <w:shd w:val="clear" w:fill="FFFFFF"/>
          <w:lang w:val="en-US" w:eastAsia="zh-CN" w:bidi="ar"/>
        </w:rPr>
        <w:t>，</w:t>
      </w:r>
      <w:r>
        <w:rPr>
          <w:rFonts w:hint="eastAsia" w:ascii="仿宋" w:hAnsi="仿宋" w:eastAsia="仿宋" w:cs="仿宋"/>
          <w:color w:val="444444"/>
          <w:kern w:val="2"/>
          <w:sz w:val="28"/>
          <w:szCs w:val="28"/>
          <w:shd w:val="clear" w:fill="FFFFFF"/>
          <w:lang w:val="en-US" w:eastAsia="zh-CN" w:bidi="ar"/>
        </w:rPr>
        <w:t>应经导师审核同意，并报培养单位备案。若论文选题变动较大，或者更换论文选题的，则须重新进行开题报告。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both"/>
        <w:textAlignment w:val="auto"/>
        <w:rPr>
          <w:rFonts w:hint="default" w:ascii="仿宋" w:hAnsi="仿宋" w:eastAsia="仿宋" w:cs="仿宋"/>
          <w:b/>
          <w:bCs/>
          <w:color w:val="444444"/>
          <w:kern w:val="2"/>
          <w:sz w:val="28"/>
          <w:szCs w:val="28"/>
          <w:shd w:val="clear" w:fill="FFFFFF"/>
          <w:lang w:val="en-US" w:eastAsia="zh-CN" w:bidi="ar"/>
        </w:rPr>
      </w:pPr>
      <w:r>
        <w:rPr>
          <w:rFonts w:hint="eastAsia" w:ascii="仿宋" w:hAnsi="仿宋" w:eastAsia="仿宋" w:cs="仿宋"/>
          <w:b/>
          <w:bCs/>
          <w:color w:val="444444"/>
          <w:kern w:val="2"/>
          <w:sz w:val="28"/>
          <w:szCs w:val="28"/>
          <w:shd w:val="clear" w:fill="FFFFFF"/>
          <w:lang w:val="en-US" w:eastAsia="zh-CN" w:bidi="ar"/>
        </w:rPr>
        <w:t>六、开题报告的存档与管理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开题报告会结束后，研究生应将填写完整的《研究生学位论文开题报告登记表》交所在培养单位存档。</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培养单位应填写《研究生学位论文开题报告结果汇总表》报研究生院研究生培养工作处备案。</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开题报告组织实施情况及相关材料作为培养单位研究生教育绩效考核的重要依据。</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r>
        <w:rPr>
          <w:rFonts w:hint="eastAsia" w:ascii="仿宋" w:hAnsi="仿宋" w:eastAsia="仿宋" w:cs="仿宋"/>
          <w:color w:val="444444"/>
          <w:kern w:val="2"/>
          <w:sz w:val="28"/>
          <w:szCs w:val="28"/>
          <w:shd w:val="clear" w:fill="FFFFFF"/>
          <w:lang w:val="en-US" w:eastAsia="zh-CN" w:bidi="ar"/>
        </w:rPr>
        <w:t>各培养单位须结合本单位的学科专业特点和实际情况，制定研究生学位论文开题报告实施细则，或者制定研究生学位论文全过程质量管理实施细则（对学位论文开题报告、中期进展检查、预答辩、评阅、答辩、抽检等关键环节做出具体规定）。相关实施细则于2022年12月30日前报研究生院研究生培养工作处备案（联系人：卢老师，联系电话：68754172）。</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444444"/>
          <w:kern w:val="2"/>
          <w:sz w:val="28"/>
          <w:szCs w:val="28"/>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kern w:val="2"/>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 xml:space="preserve">                                           研究生院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2022年10月19日</w:t>
      </w:r>
    </w:p>
    <w:sectPr>
      <w:foot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MzAxOGQzNjExNGU0NzI4ZmY5ZTI0OWM4NDk1YmUifQ=="/>
  </w:docVars>
  <w:rsids>
    <w:rsidRoot w:val="50E1555F"/>
    <w:rsid w:val="000C024B"/>
    <w:rsid w:val="00501EE6"/>
    <w:rsid w:val="019D0F20"/>
    <w:rsid w:val="01B06A8A"/>
    <w:rsid w:val="01B80B7A"/>
    <w:rsid w:val="034E2DDA"/>
    <w:rsid w:val="036F058C"/>
    <w:rsid w:val="03CD54DC"/>
    <w:rsid w:val="03F1316B"/>
    <w:rsid w:val="049739A9"/>
    <w:rsid w:val="053D5B7D"/>
    <w:rsid w:val="068C359A"/>
    <w:rsid w:val="06B50AAC"/>
    <w:rsid w:val="06E87802"/>
    <w:rsid w:val="07F947ED"/>
    <w:rsid w:val="08217FA4"/>
    <w:rsid w:val="094D3D62"/>
    <w:rsid w:val="09D11D9A"/>
    <w:rsid w:val="0A1D1696"/>
    <w:rsid w:val="0ADC6AC8"/>
    <w:rsid w:val="0AE6709D"/>
    <w:rsid w:val="0B286BCD"/>
    <w:rsid w:val="0BDE53D5"/>
    <w:rsid w:val="0CE50927"/>
    <w:rsid w:val="0DDA54E4"/>
    <w:rsid w:val="0E2B7E47"/>
    <w:rsid w:val="0F2602F8"/>
    <w:rsid w:val="1134654F"/>
    <w:rsid w:val="116D4CA8"/>
    <w:rsid w:val="1267120C"/>
    <w:rsid w:val="12BA3042"/>
    <w:rsid w:val="13366D3D"/>
    <w:rsid w:val="13BF6A64"/>
    <w:rsid w:val="14065285"/>
    <w:rsid w:val="14465682"/>
    <w:rsid w:val="1473252B"/>
    <w:rsid w:val="150B46DC"/>
    <w:rsid w:val="152D4320"/>
    <w:rsid w:val="15CA4090"/>
    <w:rsid w:val="1627341E"/>
    <w:rsid w:val="16CD3E38"/>
    <w:rsid w:val="17396B85"/>
    <w:rsid w:val="190A1630"/>
    <w:rsid w:val="19672B2D"/>
    <w:rsid w:val="19BF15CE"/>
    <w:rsid w:val="19E80F89"/>
    <w:rsid w:val="1A266FDB"/>
    <w:rsid w:val="1A2E2E40"/>
    <w:rsid w:val="1AD475D8"/>
    <w:rsid w:val="1CD87093"/>
    <w:rsid w:val="1CE7035D"/>
    <w:rsid w:val="1D3D79FD"/>
    <w:rsid w:val="1E82375A"/>
    <w:rsid w:val="1E8F0BD1"/>
    <w:rsid w:val="1FCD1A2C"/>
    <w:rsid w:val="201D63C9"/>
    <w:rsid w:val="209A7EF5"/>
    <w:rsid w:val="21962254"/>
    <w:rsid w:val="22001566"/>
    <w:rsid w:val="223D16E1"/>
    <w:rsid w:val="22FC60B2"/>
    <w:rsid w:val="233E43F8"/>
    <w:rsid w:val="23C77EBE"/>
    <w:rsid w:val="23FD1788"/>
    <w:rsid w:val="242470BE"/>
    <w:rsid w:val="24D22230"/>
    <w:rsid w:val="24D7534C"/>
    <w:rsid w:val="25A304B7"/>
    <w:rsid w:val="26661BB3"/>
    <w:rsid w:val="2781205A"/>
    <w:rsid w:val="27B801ED"/>
    <w:rsid w:val="27D72A83"/>
    <w:rsid w:val="28404A16"/>
    <w:rsid w:val="28DA6CDF"/>
    <w:rsid w:val="28FB3043"/>
    <w:rsid w:val="294361DC"/>
    <w:rsid w:val="29C75C4C"/>
    <w:rsid w:val="2A481CFC"/>
    <w:rsid w:val="2AA1765E"/>
    <w:rsid w:val="2AF04EFB"/>
    <w:rsid w:val="2B896E09"/>
    <w:rsid w:val="2BAE3AB7"/>
    <w:rsid w:val="2D1A7BF7"/>
    <w:rsid w:val="2DDB312F"/>
    <w:rsid w:val="2E222D77"/>
    <w:rsid w:val="2E6366F0"/>
    <w:rsid w:val="2F9C3A3D"/>
    <w:rsid w:val="303E323B"/>
    <w:rsid w:val="307849BD"/>
    <w:rsid w:val="30A46FD7"/>
    <w:rsid w:val="30F642BB"/>
    <w:rsid w:val="31892DD4"/>
    <w:rsid w:val="32336FF4"/>
    <w:rsid w:val="34482EEA"/>
    <w:rsid w:val="344D2EDD"/>
    <w:rsid w:val="346A7F5E"/>
    <w:rsid w:val="34FC4743"/>
    <w:rsid w:val="3538471B"/>
    <w:rsid w:val="357D65D2"/>
    <w:rsid w:val="36A00D90"/>
    <w:rsid w:val="3781684D"/>
    <w:rsid w:val="37F47526"/>
    <w:rsid w:val="38283765"/>
    <w:rsid w:val="38A5578B"/>
    <w:rsid w:val="38EE6E70"/>
    <w:rsid w:val="397005CD"/>
    <w:rsid w:val="3A0B630F"/>
    <w:rsid w:val="3B003F2D"/>
    <w:rsid w:val="3B080444"/>
    <w:rsid w:val="3B0B46DC"/>
    <w:rsid w:val="3B2E77A7"/>
    <w:rsid w:val="3B3B50A0"/>
    <w:rsid w:val="3C0F6D52"/>
    <w:rsid w:val="3D150C0F"/>
    <w:rsid w:val="3D460A1D"/>
    <w:rsid w:val="3EF32C54"/>
    <w:rsid w:val="403A4284"/>
    <w:rsid w:val="40640ABA"/>
    <w:rsid w:val="4080170F"/>
    <w:rsid w:val="40C41559"/>
    <w:rsid w:val="40EF3E80"/>
    <w:rsid w:val="422A157A"/>
    <w:rsid w:val="427555DD"/>
    <w:rsid w:val="4286740D"/>
    <w:rsid w:val="42AB7AC9"/>
    <w:rsid w:val="42BC57B0"/>
    <w:rsid w:val="433075B5"/>
    <w:rsid w:val="43E04383"/>
    <w:rsid w:val="454319BD"/>
    <w:rsid w:val="45EF0D55"/>
    <w:rsid w:val="46A460B4"/>
    <w:rsid w:val="46A6175D"/>
    <w:rsid w:val="470D1EAB"/>
    <w:rsid w:val="484D1CA3"/>
    <w:rsid w:val="48587706"/>
    <w:rsid w:val="48A318F4"/>
    <w:rsid w:val="4A1B25B8"/>
    <w:rsid w:val="4A5E48E2"/>
    <w:rsid w:val="4B8D057D"/>
    <w:rsid w:val="4BB5666E"/>
    <w:rsid w:val="4C4176DD"/>
    <w:rsid w:val="4C89718E"/>
    <w:rsid w:val="4CA26BF2"/>
    <w:rsid w:val="4CE51F6B"/>
    <w:rsid w:val="4D0C6761"/>
    <w:rsid w:val="4D9D43D0"/>
    <w:rsid w:val="4E9B7D9D"/>
    <w:rsid w:val="4F2A6B2B"/>
    <w:rsid w:val="4F3A63F4"/>
    <w:rsid w:val="4FAA6041"/>
    <w:rsid w:val="4FEF5079"/>
    <w:rsid w:val="501A73E7"/>
    <w:rsid w:val="509E6DA8"/>
    <w:rsid w:val="50E1555F"/>
    <w:rsid w:val="50E35A2B"/>
    <w:rsid w:val="50FF7B5D"/>
    <w:rsid w:val="512A5408"/>
    <w:rsid w:val="51836EA0"/>
    <w:rsid w:val="52E50BEC"/>
    <w:rsid w:val="531B5950"/>
    <w:rsid w:val="535D2E37"/>
    <w:rsid w:val="541B5538"/>
    <w:rsid w:val="548C2F23"/>
    <w:rsid w:val="55052414"/>
    <w:rsid w:val="564B02FA"/>
    <w:rsid w:val="56C7175E"/>
    <w:rsid w:val="56F666DB"/>
    <w:rsid w:val="5897154A"/>
    <w:rsid w:val="58E1251C"/>
    <w:rsid w:val="590B5B1F"/>
    <w:rsid w:val="5B46141D"/>
    <w:rsid w:val="5CEE3529"/>
    <w:rsid w:val="5D526412"/>
    <w:rsid w:val="5D7D52AA"/>
    <w:rsid w:val="5F186E94"/>
    <w:rsid w:val="5F863585"/>
    <w:rsid w:val="612C6F7A"/>
    <w:rsid w:val="6166106F"/>
    <w:rsid w:val="61D72264"/>
    <w:rsid w:val="6263450B"/>
    <w:rsid w:val="628F5A13"/>
    <w:rsid w:val="62913AE3"/>
    <w:rsid w:val="62CE7B37"/>
    <w:rsid w:val="637534D8"/>
    <w:rsid w:val="650F3362"/>
    <w:rsid w:val="67696C45"/>
    <w:rsid w:val="67B614C5"/>
    <w:rsid w:val="681945A2"/>
    <w:rsid w:val="68330BEE"/>
    <w:rsid w:val="6855301A"/>
    <w:rsid w:val="68B7537B"/>
    <w:rsid w:val="694F2375"/>
    <w:rsid w:val="69F60182"/>
    <w:rsid w:val="6A4E7576"/>
    <w:rsid w:val="6A4F2F01"/>
    <w:rsid w:val="6A892D47"/>
    <w:rsid w:val="6AA80752"/>
    <w:rsid w:val="6AAB7162"/>
    <w:rsid w:val="6BFC208E"/>
    <w:rsid w:val="6C6A5E6E"/>
    <w:rsid w:val="6D0928F7"/>
    <w:rsid w:val="6E8C4B58"/>
    <w:rsid w:val="6EBC22FB"/>
    <w:rsid w:val="6F1A3B95"/>
    <w:rsid w:val="6FEC523B"/>
    <w:rsid w:val="710F044A"/>
    <w:rsid w:val="7148570A"/>
    <w:rsid w:val="71BA5C26"/>
    <w:rsid w:val="720C2A37"/>
    <w:rsid w:val="72A7626F"/>
    <w:rsid w:val="72C546D9"/>
    <w:rsid w:val="75240F6D"/>
    <w:rsid w:val="76BC2DD3"/>
    <w:rsid w:val="772509C6"/>
    <w:rsid w:val="77BF424C"/>
    <w:rsid w:val="79923E5C"/>
    <w:rsid w:val="7B2014A6"/>
    <w:rsid w:val="7B54130F"/>
    <w:rsid w:val="7C537AA8"/>
    <w:rsid w:val="7CC27DD3"/>
    <w:rsid w:val="7D193CA5"/>
    <w:rsid w:val="7D1C0E02"/>
    <w:rsid w:val="7D1C6DDF"/>
    <w:rsid w:val="7D8F64CC"/>
    <w:rsid w:val="7FC85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1584</Words>
  <Characters>1624</Characters>
  <Lines>0</Lines>
  <Paragraphs>0</Paragraphs>
  <TotalTime>4</TotalTime>
  <ScaleCrop>false</ScaleCrop>
  <LinksUpToDate>false</LinksUpToDate>
  <CharactersWithSpaces>1669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2022-09-12T08:27:00Z</dcterms:created>
  <dc:creator>卢晴</dc:creator>
  <cp:lastModifiedBy>王夏慧</cp:lastModifiedBy>
  <cp:lastPrinted>2022-10-19T07:46:00Z</cp:lastPrinted>
  <dcterms:modified xsi:type="dcterms:W3CDTF">2023-12-12T08:13:04Z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9468773302BC4CF286C90BDBB2C8C48B_13</vt:lpwstr>
  </property>
</Properties>
</file>